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63DAD" w14:textId="19241DBE" w:rsidR="00353135" w:rsidRPr="00532D1B" w:rsidRDefault="001338B3" w:rsidP="001338B3">
      <w:pPr>
        <w:pStyle w:val="LetterBodyText"/>
        <w:jc w:val="center"/>
        <w:rPr>
          <w:rFonts w:ascii="Century Gothic" w:hAnsi="Century Gothic"/>
          <w:b/>
          <w:sz w:val="22"/>
          <w:szCs w:val="22"/>
          <w:lang w:val="en-GB"/>
        </w:rPr>
      </w:pPr>
      <w:r w:rsidRPr="00532D1B">
        <w:rPr>
          <w:rFonts w:ascii="Century Gothic" w:hAnsi="Century Gothic"/>
          <w:b/>
          <w:sz w:val="22"/>
          <w:szCs w:val="22"/>
          <w:lang w:val="en-GB"/>
        </w:rPr>
        <w:t>T</w:t>
      </w:r>
      <w:r w:rsidR="00353135" w:rsidRPr="00532D1B">
        <w:rPr>
          <w:rFonts w:ascii="Century Gothic" w:hAnsi="Century Gothic"/>
          <w:b/>
          <w:sz w:val="22"/>
          <w:szCs w:val="22"/>
          <w:lang w:val="en-GB"/>
        </w:rPr>
        <w:t>erms and Conditions</w:t>
      </w:r>
      <w:r w:rsidR="00471B3C">
        <w:rPr>
          <w:rFonts w:ascii="Century Gothic" w:hAnsi="Century Gothic"/>
          <w:b/>
          <w:sz w:val="22"/>
          <w:szCs w:val="22"/>
          <w:lang w:val="en-GB"/>
        </w:rPr>
        <w:t>- Happy Herts Physiotherapy</w:t>
      </w:r>
    </w:p>
    <w:p w14:paraId="7BFC9D84"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Please read these Terms and Conditions carefully. They apply to physiotherapy assessment, treatment and related professional services provided by Happy Herts Physiotherapy.</w:t>
      </w:r>
    </w:p>
    <w:p w14:paraId="2533CEFC"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If you have any questions regarding these Terms and Conditions, please contact me before commencing treatment.</w:t>
      </w:r>
    </w:p>
    <w:p w14:paraId="4F98611A"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For the purposes of these Terms and Conditions, “service user” refers to the person receiving physiotherapy services. Where appropriate, references to a parent, carer or representative include a person who has legal authority to act on behalf of the service user.</w:t>
      </w:r>
    </w:p>
    <w:p w14:paraId="23D20E32"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physiotherapy services are commissioned by a case manager, solicitor, insurer, funding organisation or other third party, references to the “commissioning party” mean the organisation or individual responsible for arranging and/or funding the service.</w:t>
      </w:r>
    </w:p>
    <w:p w14:paraId="4C774F48"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 Assessment and treatment</w:t>
      </w:r>
    </w:p>
    <w:p w14:paraId="18296310"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An initial physiotherapy assessment will normally be required before ongoing treatment commences. The assessment will include taking an appropriate clinical history, discussing the service user's needs and goals, carrying out a physical and functional assessment where appropriate, and developing an appropriate treatment plan.</w:t>
      </w:r>
    </w:p>
    <w:p w14:paraId="06CA117E"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The duration and content of the initial assessment will depend on the service user's individual needs and circumstances.</w:t>
      </w:r>
    </w:p>
    <w:p w14:paraId="110DB67D"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a recent assessment by another appropriately qualified physiotherapist is available, this may be taken into consideration when determining the assessment required.</w:t>
      </w:r>
    </w:p>
    <w:p w14:paraId="561E973A"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Following assessment, recommendations regarding treatment, frequency and goals will be discussed with the service user and/or their parent, carer or representative, as appropriate.</w:t>
      </w:r>
    </w:p>
    <w:p w14:paraId="6E9C604A"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2. Treatment frequency and treatment planning</w:t>
      </w:r>
    </w:p>
    <w:p w14:paraId="0026D705"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The frequency and duration of physiotherapy sessions will be determined according to the service user's clinical needs, goals and circumstances.</w:t>
      </w:r>
    </w:p>
    <w:p w14:paraId="6D139017"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Treatment plans may be reviewed and amended as appropriate in response to the service user's progress, changing needs or other relevant information.</w:t>
      </w:r>
    </w:p>
    <w:p w14:paraId="228BA1D1"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lastRenderedPageBreak/>
        <w:t>For case-managed clients, recommendations regarding ongoing treatment, frequency and associated costs may be provided to the relevant case manager or commissioning organisation following assessment.</w:t>
      </w:r>
    </w:p>
    <w:p w14:paraId="61CBA085"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3. Appointments and cancellations</w:t>
      </w:r>
    </w:p>
    <w:p w14:paraId="5BDA0719"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Appointments are arranged by agreement with the service user, parent/carer or, where applicable, the case manager or other commissioning party.</w:t>
      </w:r>
    </w:p>
    <w:p w14:paraId="564F42CA"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 xml:space="preserve">I ask for </w:t>
      </w:r>
      <w:r w:rsidRPr="00471B3C">
        <w:rPr>
          <w:rFonts w:ascii="Century Gothic" w:hAnsi="Century Gothic"/>
          <w:b/>
          <w:bCs/>
          <w:sz w:val="20"/>
          <w:lang w:val="en-GB"/>
        </w:rPr>
        <w:t>at least 24 hours' notice</w:t>
      </w:r>
      <w:r w:rsidRPr="00471B3C">
        <w:rPr>
          <w:rFonts w:ascii="Century Gothic" w:hAnsi="Century Gothic"/>
          <w:sz w:val="20"/>
          <w:lang w:val="en-GB"/>
        </w:rPr>
        <w:t xml:space="preserve"> if an appointment needs to be cancelled or rearranged.</w:t>
      </w:r>
    </w:p>
    <w:p w14:paraId="39C23120"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 xml:space="preserve">Where less than 24 hours' notice is given, or where a service user is unavailable at the agreed appointment time, the </w:t>
      </w:r>
      <w:r w:rsidRPr="00471B3C">
        <w:rPr>
          <w:rFonts w:ascii="Century Gothic" w:hAnsi="Century Gothic"/>
          <w:b/>
          <w:bCs/>
          <w:sz w:val="20"/>
          <w:lang w:val="en-GB"/>
        </w:rPr>
        <w:t>full session fee may be charged</w:t>
      </w:r>
      <w:r w:rsidRPr="00471B3C">
        <w:rPr>
          <w:rFonts w:ascii="Century Gothic" w:hAnsi="Century Gothic"/>
          <w:sz w:val="20"/>
          <w:lang w:val="en-GB"/>
        </w:rPr>
        <w:t>.</w:t>
      </w:r>
    </w:p>
    <w:p w14:paraId="69E3681F"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For home visits, the full charge may also include any agreed travel time or other charges associated with the appointment.</w:t>
      </w:r>
    </w:p>
    <w:p w14:paraId="541E62C0"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appreciate that illness and unforeseen circumstances can occur and will consider such circumstances reasonably on a case-by-case basis.</w:t>
      </w:r>
    </w:p>
    <w:p w14:paraId="2CBF3266"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will make every reasonable effort to provide appointments as agreed. Occasionally, an appointment may need to be cancelled or rearranged due to illness or unforeseen circumstances. Where this occurs, the appointment will be rearranged as soon as reasonably practicable.</w:t>
      </w:r>
    </w:p>
    <w:p w14:paraId="3DFD33F1"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services have been commissioned by a third party, any cancellation or non-attendance charge will be invoiced to the party responsible for payment in accordance with the agreed commissioning arrangements.</w:t>
      </w:r>
    </w:p>
    <w:p w14:paraId="35BE89EE"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4. Fees and payment</w:t>
      </w:r>
    </w:p>
    <w:p w14:paraId="4DA7A5FA" w14:textId="77777777" w:rsidR="006C545E" w:rsidRPr="006C545E" w:rsidRDefault="006C545E" w:rsidP="006C545E">
      <w:pPr>
        <w:pStyle w:val="LetterBodyText"/>
        <w:ind w:left="720"/>
        <w:rPr>
          <w:rFonts w:ascii="Century Gothic" w:hAnsi="Century Gothic"/>
          <w:sz w:val="20"/>
          <w:lang w:val="en-GB"/>
        </w:rPr>
      </w:pPr>
      <w:r w:rsidRPr="006C545E">
        <w:rPr>
          <w:rFonts w:ascii="Century Gothic" w:hAnsi="Century Gothic"/>
          <w:sz w:val="20"/>
          <w:lang w:val="en-GB"/>
        </w:rPr>
        <w:t>Current fee schedules are available upon request and will be confirmed at the time of booking or commencement of services.</w:t>
      </w:r>
    </w:p>
    <w:p w14:paraId="42AD508D"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Fees include routine administration, planning and preparation associated with standard clinical sessions.</w:t>
      </w:r>
    </w:p>
    <w:p w14:paraId="1CA36B63" w14:textId="77777777" w:rsidR="004D0364" w:rsidRPr="004D0364" w:rsidRDefault="004D0364" w:rsidP="004D0364">
      <w:pPr>
        <w:pStyle w:val="LetterBodyText"/>
        <w:ind w:left="720"/>
        <w:rPr>
          <w:rFonts w:ascii="Century Gothic" w:hAnsi="Century Gothic"/>
          <w:sz w:val="20"/>
          <w:lang w:val="en-GB"/>
        </w:rPr>
      </w:pPr>
      <w:r w:rsidRPr="004D0364">
        <w:rPr>
          <w:rFonts w:ascii="Century Gothic" w:hAnsi="Century Gothic"/>
          <w:sz w:val="20"/>
          <w:lang w:val="en-GB"/>
        </w:rPr>
        <w:t>For independently funded clients, payment is due within 48 hours of the appointment unless otherwise agreed.</w:t>
      </w:r>
    </w:p>
    <w:p w14:paraId="445B6FEF" w14:textId="77777777" w:rsidR="004D0364" w:rsidRPr="004D0364" w:rsidRDefault="004D0364" w:rsidP="004D0364">
      <w:pPr>
        <w:pStyle w:val="LetterBodyText"/>
        <w:ind w:left="720"/>
        <w:rPr>
          <w:rFonts w:ascii="Century Gothic" w:hAnsi="Century Gothic"/>
          <w:sz w:val="20"/>
          <w:lang w:val="en-GB"/>
        </w:rPr>
      </w:pPr>
      <w:r w:rsidRPr="004D0364">
        <w:rPr>
          <w:rFonts w:ascii="Century Gothic" w:hAnsi="Century Gothic"/>
          <w:sz w:val="20"/>
          <w:lang w:val="en-GB"/>
        </w:rPr>
        <w:t>For case-managed and third-party commissioned services, invoices are payable within 30 days of the invoice date unless otherwise agreed in writing.</w:t>
      </w:r>
    </w:p>
    <w:p w14:paraId="0DF812C8" w14:textId="3226FC22"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Payment is normally requested by bank transfer, although other payment methods may be agreed where appropriate.</w:t>
      </w:r>
    </w:p>
    <w:p w14:paraId="00F5492B" w14:textId="77777777" w:rsid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lastRenderedPageBreak/>
        <w:t>Where a block of sessions is offered, the applicable terms and any associated discount will be confirmed at the time of purchase.</w:t>
      </w:r>
    </w:p>
    <w:p w14:paraId="599C3BB9" w14:textId="77777777" w:rsidR="00471B3C" w:rsidRPr="00471B3C" w:rsidRDefault="00471B3C" w:rsidP="00471B3C">
      <w:pPr>
        <w:pStyle w:val="LetterBodyText"/>
        <w:ind w:left="720"/>
        <w:rPr>
          <w:rFonts w:ascii="Century Gothic" w:hAnsi="Century Gothic"/>
          <w:sz w:val="20"/>
          <w:lang w:val="en-GB"/>
        </w:rPr>
      </w:pPr>
    </w:p>
    <w:p w14:paraId="5D04A72C"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5. Case-managed and third-party funded clients</w:t>
      </w:r>
    </w:p>
    <w:p w14:paraId="168E37CD"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physiotherapy services are arranged, commissioned or funded through a case manager, solicitor, insurer, funding organisation or other third party, fees and associated costs may differ from those applicable to independent private clients.</w:t>
      </w:r>
    </w:p>
    <w:p w14:paraId="68FF793B"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Case-managed work may involve additional clinical, administrative and professional responsibilities, including but not limited to:</w:t>
      </w:r>
    </w:p>
    <w:p w14:paraId="2BDAAA65"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detailed assessment reports;</w:t>
      </w:r>
    </w:p>
    <w:p w14:paraId="7EC7B5FC"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treatment recommendations and costings;</w:t>
      </w:r>
    </w:p>
    <w:p w14:paraId="4E9D87D2"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progress reports and treatment summaries;</w:t>
      </w:r>
    </w:p>
    <w:p w14:paraId="0C70661F"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professional correspondence;</w:t>
      </w:r>
    </w:p>
    <w:p w14:paraId="4F0A7D24"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telephone discussions;</w:t>
      </w:r>
    </w:p>
    <w:p w14:paraId="606FABA9"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case conferences and multidisciplinary meetings;</w:t>
      </w:r>
    </w:p>
    <w:p w14:paraId="37196D94"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liaison with case managers, solicitors, insurers and other professionals;</w:t>
      </w:r>
    </w:p>
    <w:p w14:paraId="658D91EB"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treatment planning and review;</w:t>
      </w:r>
    </w:p>
    <w:p w14:paraId="0323C555"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preparation for meetings or discussions; and</w:t>
      </w:r>
    </w:p>
    <w:p w14:paraId="0E560302" w14:textId="77777777" w:rsidR="00471B3C" w:rsidRPr="00471B3C" w:rsidRDefault="00471B3C" w:rsidP="00471B3C">
      <w:pPr>
        <w:pStyle w:val="LetterBodyText"/>
        <w:numPr>
          <w:ilvl w:val="0"/>
          <w:numId w:val="5"/>
        </w:numPr>
        <w:rPr>
          <w:rFonts w:ascii="Century Gothic" w:hAnsi="Century Gothic"/>
          <w:sz w:val="20"/>
          <w:lang w:val="en-GB"/>
        </w:rPr>
      </w:pPr>
      <w:r w:rsidRPr="00471B3C">
        <w:rPr>
          <w:rFonts w:ascii="Century Gothic" w:hAnsi="Century Gothic"/>
          <w:sz w:val="20"/>
          <w:lang w:val="en-GB"/>
        </w:rPr>
        <w:t>other reasonable professional or administrative work required as part of the service user's rehabilitation.</w:t>
      </w:r>
    </w:p>
    <w:p w14:paraId="14BE0EE4" w14:textId="0E394847" w:rsidR="00471B3C" w:rsidRPr="004D0364" w:rsidRDefault="00B85568" w:rsidP="00B85568">
      <w:pPr>
        <w:spacing w:line="300" w:lineRule="atLeast"/>
        <w:ind w:left="360"/>
        <w:rPr>
          <w:rFonts w:ascii="Segoe UI" w:hAnsi="Segoe UI" w:cs="Segoe UI"/>
          <w:sz w:val="21"/>
          <w:szCs w:val="21"/>
          <w:lang w:val="en-GB" w:eastAsia="en-GB"/>
        </w:rPr>
      </w:pPr>
      <w:r w:rsidRPr="00B85568">
        <w:rPr>
          <w:rFonts w:ascii="Century Gothic" w:hAnsi="Century Gothic" w:cs="Segoe UI"/>
          <w:sz w:val="20"/>
          <w:lang w:val="en-GB" w:eastAsia="en-GB"/>
        </w:rPr>
        <w:t>Such work may be charged separately from the clinical session fee at the applicable rate set out in the current fee schedule provided to the commissioning party</w:t>
      </w:r>
      <w:r w:rsidR="004D0364" w:rsidRPr="00B85568">
        <w:rPr>
          <w:rFonts w:ascii="Century Gothic" w:hAnsi="Century Gothic" w:cs="Segoe UI"/>
          <w:sz w:val="20"/>
          <w:lang w:val="en-GB" w:eastAsia="en-GB"/>
        </w:rPr>
        <w:t>.</w:t>
      </w:r>
      <w:r w:rsidR="004D0364">
        <w:rPr>
          <w:rFonts w:ascii="Segoe UI" w:hAnsi="Segoe UI" w:cs="Segoe UI"/>
          <w:sz w:val="21"/>
          <w:szCs w:val="21"/>
          <w:lang w:val="en-GB" w:eastAsia="en-GB"/>
        </w:rPr>
        <w:t xml:space="preserve"> </w:t>
      </w:r>
      <w:r w:rsidR="00471B3C" w:rsidRPr="00471B3C">
        <w:rPr>
          <w:rFonts w:ascii="Century Gothic" w:hAnsi="Century Gothic"/>
          <w:sz w:val="20"/>
          <w:lang w:val="en-GB"/>
        </w:rPr>
        <w:t>Where possible, the applicable fees will be discussed and agreed with the relevant commissioning party in advance.</w:t>
      </w:r>
    </w:p>
    <w:p w14:paraId="06A833FC" w14:textId="77777777" w:rsidR="004D0364" w:rsidRDefault="004D0364" w:rsidP="00471B3C">
      <w:pPr>
        <w:pStyle w:val="LetterBodyText"/>
        <w:ind w:left="720"/>
        <w:rPr>
          <w:rFonts w:ascii="Century Gothic" w:hAnsi="Century Gothic"/>
          <w:b/>
          <w:bCs/>
          <w:sz w:val="20"/>
          <w:lang w:val="en-GB"/>
        </w:rPr>
      </w:pPr>
    </w:p>
    <w:p w14:paraId="7CECB722" w14:textId="5C821D3A"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6. Reports and professional documentation</w:t>
      </w:r>
    </w:p>
    <w:p w14:paraId="203A858B"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Written reports, letters, treatment summaries and other professional documentation may be provided where clinically appropriate or requested by the service user, parent/carer, case manager or other authorised party.</w:t>
      </w:r>
    </w:p>
    <w:p w14:paraId="0021F872"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lastRenderedPageBreak/>
        <w:t>The fee for reports and other professional documentation will depend on the nature, length and complexity of the document and the time required to prepare it.</w:t>
      </w:r>
    </w:p>
    <w:p w14:paraId="124747D9" w14:textId="77777777" w:rsidR="004D0364" w:rsidRPr="004D0364" w:rsidRDefault="004D0364" w:rsidP="004D0364">
      <w:pPr>
        <w:pStyle w:val="LetterBodyText"/>
        <w:ind w:left="720"/>
        <w:rPr>
          <w:rFonts w:ascii="Century Gothic" w:hAnsi="Century Gothic"/>
          <w:sz w:val="20"/>
          <w:lang w:val="en-GB"/>
        </w:rPr>
      </w:pPr>
      <w:r w:rsidRPr="004D0364">
        <w:rPr>
          <w:rFonts w:ascii="Century Gothic" w:hAnsi="Century Gothic"/>
          <w:sz w:val="20"/>
          <w:lang w:val="en-GB"/>
        </w:rPr>
        <w:t>Reports, letters and other professional documentation are charged in accordance with the current fee schedule and may be charged at a fixed fee or professional hourly rate, depending on the nature of the work.</w:t>
      </w:r>
    </w:p>
    <w:p w14:paraId="17E47776"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Reports required as part of case-managed work may require a greater level of detail and professional input and may therefore be charged separately at the applicable professional hourly rate, based on the time reasonably required to complete the work.</w:t>
      </w:r>
    </w:p>
    <w:p w14:paraId="32C7A403"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appropriate, the anticipated cost will be discussed with the commissioning party before the work is undertaken.</w:t>
      </w:r>
    </w:p>
    <w:p w14:paraId="2FEBDF22"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7. Travel and home visits</w:t>
      </w:r>
    </w:p>
    <w:p w14:paraId="005EA8DB" w14:textId="77777777" w:rsidR="009D18AC" w:rsidRPr="009D18AC" w:rsidRDefault="009D18AC" w:rsidP="009D18AC">
      <w:pPr>
        <w:pStyle w:val="LetterBodyText"/>
        <w:ind w:left="720"/>
        <w:rPr>
          <w:rFonts w:ascii="Century Gothic" w:hAnsi="Century Gothic"/>
          <w:sz w:val="20"/>
          <w:lang w:val="en-GB"/>
        </w:rPr>
      </w:pPr>
      <w:r w:rsidRPr="009D18AC">
        <w:rPr>
          <w:rFonts w:ascii="Century Gothic" w:hAnsi="Century Gothic"/>
          <w:sz w:val="20"/>
          <w:lang w:val="en-GB"/>
        </w:rPr>
        <w:t>Home visits are available across Hertfordshire and Buckinghamshire, with some other areas considered on request.</w:t>
      </w:r>
    </w:p>
    <w:p w14:paraId="4A809B92" w14:textId="77777777" w:rsidR="009D18AC" w:rsidRPr="009D18AC" w:rsidRDefault="009D18AC" w:rsidP="009D18AC">
      <w:pPr>
        <w:pStyle w:val="LetterBodyText"/>
        <w:ind w:left="720"/>
        <w:rPr>
          <w:rFonts w:ascii="Century Gothic" w:hAnsi="Century Gothic"/>
          <w:sz w:val="20"/>
          <w:lang w:val="en-GB"/>
        </w:rPr>
      </w:pPr>
      <w:r w:rsidRPr="009D18AC">
        <w:rPr>
          <w:rFonts w:ascii="Century Gothic" w:hAnsi="Century Gothic"/>
          <w:sz w:val="20"/>
          <w:lang w:val="en-GB"/>
        </w:rPr>
        <w:t>Travel arrangements and any applicable charges will be confirmed at the time of booking or when services are commissioned.</w:t>
      </w:r>
    </w:p>
    <w:p w14:paraId="42DD0ADB" w14:textId="77777777" w:rsidR="009D18AC" w:rsidRPr="009D18AC" w:rsidRDefault="009D18AC" w:rsidP="009D18AC">
      <w:pPr>
        <w:pStyle w:val="LetterBodyText"/>
        <w:ind w:left="720"/>
        <w:rPr>
          <w:rFonts w:ascii="Century Gothic" w:hAnsi="Century Gothic"/>
          <w:sz w:val="20"/>
          <w:lang w:val="en-GB"/>
        </w:rPr>
      </w:pPr>
      <w:r w:rsidRPr="009D18AC">
        <w:rPr>
          <w:rFonts w:ascii="Century Gothic" w:hAnsi="Century Gothic"/>
          <w:sz w:val="20"/>
          <w:lang w:val="en-GB"/>
        </w:rPr>
        <w:t>Where applicable, professional time spent travelling to and from a home visit may be charged at the applicable professional hourly rate.</w:t>
      </w:r>
    </w:p>
    <w:p w14:paraId="34F63B1E" w14:textId="77777777" w:rsidR="009D18AC" w:rsidRPr="009D18AC" w:rsidRDefault="009D18AC" w:rsidP="009D18AC">
      <w:pPr>
        <w:pStyle w:val="LetterBodyText"/>
        <w:ind w:left="720"/>
        <w:rPr>
          <w:rFonts w:ascii="Century Gothic" w:hAnsi="Century Gothic"/>
          <w:sz w:val="20"/>
          <w:lang w:val="en-GB"/>
        </w:rPr>
      </w:pPr>
      <w:r w:rsidRPr="009D18AC">
        <w:rPr>
          <w:rFonts w:ascii="Century Gothic" w:hAnsi="Century Gothic"/>
          <w:sz w:val="20"/>
          <w:lang w:val="en-GB"/>
        </w:rPr>
        <w:t>Mileage may be charged where appropriate and will be agreed in advance.</w:t>
      </w:r>
    </w:p>
    <w:p w14:paraId="6546B348" w14:textId="77777777" w:rsidR="009D18AC" w:rsidRPr="009D18AC" w:rsidRDefault="009D18AC" w:rsidP="009D18AC">
      <w:pPr>
        <w:pStyle w:val="LetterBodyText"/>
        <w:ind w:left="720"/>
        <w:rPr>
          <w:rFonts w:ascii="Century Gothic" w:hAnsi="Century Gothic"/>
          <w:sz w:val="20"/>
          <w:lang w:val="en-GB"/>
        </w:rPr>
      </w:pPr>
      <w:r w:rsidRPr="009D18AC">
        <w:rPr>
          <w:rFonts w:ascii="Century Gothic" w:hAnsi="Century Gothic"/>
          <w:sz w:val="20"/>
          <w:lang w:val="en-GB"/>
        </w:rPr>
        <w:t>For case-managed clients, travel arrangements and associated costs may be agreed separately with the relevant commissioning party.</w:t>
      </w:r>
    </w:p>
    <w:p w14:paraId="7A515BED"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8. Communication and liaison with other professionals</w:t>
      </w:r>
    </w:p>
    <w:p w14:paraId="1E409C98"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appropriate and with the necessary consent or other lawful basis, I may communicate with other professionals involved in the service user's care, including physiotherapists, occupational therapists, doctors, case managers, support workers, educational staff and other relevant professionals.</w:t>
      </w:r>
    </w:p>
    <w:p w14:paraId="2FC432AF"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For case-managed clients, communication and liaison with the case manager and other members of the rehabilitation team may form part of the professional service provided.</w:t>
      </w:r>
    </w:p>
    <w:p w14:paraId="14D937A6"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will only share information that is relevant and appropriate for the purpose for which it is being shared and will maintain the confidentiality of the service user's information.</w:t>
      </w:r>
    </w:p>
    <w:p w14:paraId="6C388723"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9. Consent</w:t>
      </w:r>
    </w:p>
    <w:p w14:paraId="4FA52D85"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Valid consent will be obtained before assessment and treatment is provided.</w:t>
      </w:r>
    </w:p>
    <w:p w14:paraId="0ED01F10"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lastRenderedPageBreak/>
        <w:t>Where a service user has capacity to make decisions about their care, their consent will be sought directly.</w:t>
      </w:r>
    </w:p>
    <w:p w14:paraId="614450D3"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a service user does not have capacity to make a particular decision, consent or appropriate authority will be obtained from the person legally authorised to act on their behalf, where required.</w:t>
      </w:r>
    </w:p>
    <w:p w14:paraId="14DD8858"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Consent may be withdrawn at any time. Where consent is withdrawn, this may affect my ability to provide ongoing treatment or communicate with other professionals involved in the service user's care.</w:t>
      </w:r>
    </w:p>
    <w:p w14:paraId="11C45BB5"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10. Confidentiality and safeguarding</w:t>
      </w:r>
    </w:p>
    <w:p w14:paraId="34FEEA06"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will maintain the confidentiality of information relating to service users and will only disclose confidential information where appropriate, including where the service user has given permission, where disclosure is permitted or required by law, where it is necessary in the service user's best interests, or where there is an appropriate safeguarding or public-interest basis for disclosure.</w:t>
      </w:r>
    </w:p>
    <w:p w14:paraId="3264B5A8"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I have safeguarding concerns, I may need to share relevant information with an appropriate organisation or professional in accordance with my professional and legal responsibilities.</w:t>
      </w:r>
    </w:p>
    <w:p w14:paraId="5C99C0D3"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My safeguarding procedures are available on request.</w:t>
      </w:r>
    </w:p>
    <w:p w14:paraId="118753D8"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11. Clinical records</w:t>
      </w:r>
    </w:p>
    <w:p w14:paraId="0FA83C3F"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maintain appropriate written and/or electronic records of assessment, treatment, clinical reasoning, recommendations, communications and other relevant professional activity.</w:t>
      </w:r>
    </w:p>
    <w:p w14:paraId="441BE7E5"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Records will be maintained accurately and securely and in accordance with applicable legal, professional and data protection requirements.</w:t>
      </w:r>
    </w:p>
    <w:p w14:paraId="7D9C2011"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appropriate, photographs or videos may be taken for clinical purposes with the necessary consent. Any such material will be stored securely and handled in accordance with my Privacy Notice.</w:t>
      </w:r>
    </w:p>
    <w:p w14:paraId="6987313F"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12. Complaints and concerns</w:t>
      </w:r>
    </w:p>
    <w:p w14:paraId="02792E82"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aim to provide a professional, safe and effective service. If you have any concern about the service provided, please raise this with me as soon as possible so that I have an opportunity to understand and address the concern.</w:t>
      </w:r>
    </w:p>
    <w:p w14:paraId="7DF9E4EC"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 xml:space="preserve">A copy of my </w:t>
      </w:r>
      <w:proofErr w:type="gramStart"/>
      <w:r w:rsidRPr="00471B3C">
        <w:rPr>
          <w:rFonts w:ascii="Century Gothic" w:hAnsi="Century Gothic"/>
          <w:sz w:val="20"/>
          <w:lang w:val="en-GB"/>
        </w:rPr>
        <w:t>complaints</w:t>
      </w:r>
      <w:proofErr w:type="gramEnd"/>
      <w:r w:rsidRPr="00471B3C">
        <w:rPr>
          <w:rFonts w:ascii="Century Gothic" w:hAnsi="Century Gothic"/>
          <w:sz w:val="20"/>
          <w:lang w:val="en-GB"/>
        </w:rPr>
        <w:t xml:space="preserve"> procedure is available on request.</w:t>
      </w:r>
    </w:p>
    <w:p w14:paraId="76D03EAC"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13. Ending physiotherapy involvement</w:t>
      </w:r>
    </w:p>
    <w:p w14:paraId="2E0156E1"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lastRenderedPageBreak/>
        <w:t>A service user, parent/carer or authorised representative may request that physiotherapy treatment ends at any time.</w:t>
      </w:r>
    </w:p>
    <w:p w14:paraId="046EBC1A"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may also recommend ending or pausing physiotherapy where treatment is no longer clinically appropriate, goals have been achieved, the service user's needs fall outside my scope of practice, or another professional service would be more appropriate.</w:t>
      </w:r>
    </w:p>
    <w:p w14:paraId="2732D410"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For case-managed clients, I will communicate recommendations regarding the continuation, review or conclusion of physiotherapy to the relevant case manager or commissioning party, where appropriate and subject to the applicable consent and confidentiality arrangements.</w:t>
      </w:r>
    </w:p>
    <w:p w14:paraId="63FE4081"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14. Professional standards</w:t>
      </w:r>
    </w:p>
    <w:p w14:paraId="2BFD74C6"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I am a registered physiotherapist with the Health and Care Professions Council (HCPC) and work in accordance with the applicable professional standards, legislation and guidance relevant to my practice.</w:t>
      </w:r>
    </w:p>
    <w:p w14:paraId="35759697" w14:textId="77777777" w:rsidR="00471B3C" w:rsidRPr="00471B3C" w:rsidRDefault="00471B3C" w:rsidP="00471B3C">
      <w:pPr>
        <w:pStyle w:val="LetterBodyText"/>
        <w:ind w:left="720"/>
        <w:rPr>
          <w:rFonts w:ascii="Century Gothic" w:hAnsi="Century Gothic"/>
          <w:b/>
          <w:bCs/>
          <w:sz w:val="20"/>
          <w:lang w:val="en-GB"/>
        </w:rPr>
      </w:pPr>
      <w:r w:rsidRPr="00471B3C">
        <w:rPr>
          <w:rFonts w:ascii="Century Gothic" w:hAnsi="Century Gothic"/>
          <w:b/>
          <w:bCs/>
          <w:sz w:val="20"/>
          <w:lang w:val="en-GB"/>
        </w:rPr>
        <w:t>15. Acceptance of these Terms and Conditions</w:t>
      </w:r>
    </w:p>
    <w:p w14:paraId="7B1EDD58"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By commencing physiotherapy services, the service user and/or the relevant commissioning party is deemed to have accepted these Terms and Conditions, unless alternative written terms have been agreed in advance.</w:t>
      </w:r>
    </w:p>
    <w:p w14:paraId="6A1E658A"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Where services are commissioned by a third party, any specific written agreement relating to fees, scope of work or commissioning arrangements will take precedence over these Terms and Conditions where the two documents conflict.</w:t>
      </w:r>
    </w:p>
    <w:p w14:paraId="2B2A409E" w14:textId="77777777" w:rsidR="00471B3C" w:rsidRPr="00471B3C" w:rsidRDefault="00471B3C" w:rsidP="00471B3C">
      <w:pPr>
        <w:pStyle w:val="LetterBodyText"/>
        <w:ind w:left="720"/>
        <w:rPr>
          <w:rFonts w:ascii="Century Gothic" w:hAnsi="Century Gothic"/>
          <w:sz w:val="20"/>
          <w:lang w:val="en-GB"/>
        </w:rPr>
      </w:pPr>
      <w:r w:rsidRPr="00471B3C">
        <w:rPr>
          <w:rFonts w:ascii="Century Gothic" w:hAnsi="Century Gothic"/>
          <w:sz w:val="20"/>
          <w:lang w:val="en-GB"/>
        </w:rPr>
        <w:t>These Terms and Conditions may be updated periodically to reflect changes in legislation, professional guidance or my practice.</w:t>
      </w:r>
    </w:p>
    <w:p w14:paraId="267FC643" w14:textId="77777777" w:rsidR="00E34D11" w:rsidRPr="00BB638F" w:rsidRDefault="00E34D11" w:rsidP="008F4DD9">
      <w:pPr>
        <w:pStyle w:val="LetterBodyText"/>
        <w:ind w:left="720"/>
        <w:rPr>
          <w:rFonts w:ascii="Century Gothic" w:hAnsi="Century Gothic"/>
          <w:sz w:val="20"/>
          <w:lang w:val="en-GB"/>
        </w:rPr>
      </w:pPr>
    </w:p>
    <w:sectPr w:rsidR="00E34D11" w:rsidRPr="00BB638F" w:rsidSect="0095329A">
      <w:headerReference w:type="even" r:id="rId7"/>
      <w:headerReference w:type="default" r:id="rId8"/>
      <w:footerReference w:type="even" r:id="rId9"/>
      <w:footerReference w:type="default" r:id="rId10"/>
      <w:headerReference w:type="first" r:id="rId11"/>
      <w:footerReference w:type="first" r:id="rId12"/>
      <w:pgSz w:w="11907" w:h="16839" w:code="9"/>
      <w:pgMar w:top="2070" w:right="1418" w:bottom="2160" w:left="1418" w:header="720" w:footer="720" w:gutter="0"/>
      <w:pgNumType w:start="1"/>
      <w:cols w:space="720"/>
      <w:noEndnote/>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C7116" w14:textId="77777777" w:rsidR="0036621B" w:rsidRDefault="0036621B" w:rsidP="00323B98">
      <w:r>
        <w:separator/>
      </w:r>
    </w:p>
  </w:endnote>
  <w:endnote w:type="continuationSeparator" w:id="0">
    <w:p w14:paraId="72992434" w14:textId="77777777" w:rsidR="0036621B" w:rsidRDefault="0036621B" w:rsidP="0032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C2DC" w14:textId="77777777" w:rsidR="006254B4" w:rsidRDefault="00625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A0A7" w14:textId="77777777" w:rsidR="0095329A" w:rsidRPr="00462949" w:rsidRDefault="002935D6" w:rsidP="00323B98">
    <w:pPr>
      <w:jc w:val="center"/>
      <w:rPr>
        <w:rFonts w:ascii="Century Gothic" w:hAnsi="Century Gothic"/>
        <w:color w:val="3D9991"/>
        <w:szCs w:val="16"/>
      </w:rPr>
    </w:pPr>
    <w:r>
      <w:rPr>
        <w:rFonts w:ascii="Century Gothic" w:hAnsi="Century Gothic"/>
        <w:color w:val="3D9991"/>
        <w:szCs w:val="16"/>
      </w:rPr>
      <w:t>Becky Raftery</w:t>
    </w:r>
  </w:p>
  <w:p w14:paraId="622C0ED1" w14:textId="16B50DB3" w:rsidR="00462949" w:rsidRPr="00462949" w:rsidRDefault="00F40551" w:rsidP="00462949">
    <w:pPr>
      <w:jc w:val="center"/>
      <w:rPr>
        <w:rFonts w:ascii="Century Gothic" w:hAnsi="Century Gothic"/>
        <w:color w:val="3D9991"/>
        <w:szCs w:val="16"/>
      </w:rPr>
    </w:pPr>
    <w:r>
      <w:rPr>
        <w:rFonts w:ascii="Century Gothic" w:hAnsi="Century Gothic"/>
        <w:color w:val="3D9991"/>
        <w:szCs w:val="16"/>
      </w:rPr>
      <w:t>Happy</w:t>
    </w:r>
    <w:r w:rsidR="001A224D">
      <w:rPr>
        <w:rFonts w:ascii="Century Gothic" w:hAnsi="Century Gothic"/>
        <w:color w:val="3D9991"/>
        <w:szCs w:val="16"/>
      </w:rPr>
      <w:t xml:space="preserve"> </w:t>
    </w:r>
    <w:r>
      <w:rPr>
        <w:rFonts w:ascii="Century Gothic" w:hAnsi="Century Gothic"/>
        <w:color w:val="3D9991"/>
        <w:szCs w:val="16"/>
      </w:rPr>
      <w:t>Herts Physiotherapy</w:t>
    </w:r>
  </w:p>
  <w:p w14:paraId="4F415432" w14:textId="77777777" w:rsidR="00462949" w:rsidRPr="00462949" w:rsidRDefault="002935D6" w:rsidP="00462949">
    <w:pPr>
      <w:jc w:val="center"/>
      <w:rPr>
        <w:rFonts w:ascii="Century Gothic" w:hAnsi="Century Gothic"/>
        <w:color w:val="3D9991"/>
        <w:szCs w:val="16"/>
      </w:rPr>
    </w:pPr>
    <w:proofErr w:type="spellStart"/>
    <w:r>
      <w:rPr>
        <w:rFonts w:ascii="Century Gothic" w:hAnsi="Century Gothic"/>
        <w:color w:val="3D9991"/>
        <w:szCs w:val="16"/>
      </w:rPr>
      <w:t>Bsc</w:t>
    </w:r>
    <w:proofErr w:type="spellEnd"/>
    <w:r w:rsidR="00462949" w:rsidRPr="00462949">
      <w:rPr>
        <w:rFonts w:ascii="Century Gothic" w:hAnsi="Century Gothic"/>
        <w:color w:val="3D9991"/>
        <w:szCs w:val="16"/>
      </w:rPr>
      <w:t xml:space="preserve">, </w:t>
    </w:r>
    <w:r>
      <w:rPr>
        <w:rFonts w:ascii="Century Gothic" w:hAnsi="Century Gothic"/>
        <w:color w:val="3D9991"/>
        <w:szCs w:val="16"/>
      </w:rPr>
      <w:t>MCSP</w:t>
    </w:r>
    <w:r w:rsidR="00462949" w:rsidRPr="00462949">
      <w:rPr>
        <w:rFonts w:ascii="Century Gothic" w:hAnsi="Century Gothic"/>
        <w:color w:val="3D9991"/>
        <w:szCs w:val="16"/>
      </w:rPr>
      <w:t>, M</w:t>
    </w:r>
    <w:r>
      <w:rPr>
        <w:rFonts w:ascii="Century Gothic" w:hAnsi="Century Gothic"/>
        <w:color w:val="3D9991"/>
        <w:szCs w:val="16"/>
      </w:rPr>
      <w:t>APC</w:t>
    </w:r>
    <w:r w:rsidR="00462949" w:rsidRPr="00462949">
      <w:rPr>
        <w:rFonts w:ascii="Century Gothic" w:hAnsi="Century Gothic"/>
        <w:color w:val="3D9991"/>
        <w:szCs w:val="16"/>
      </w:rPr>
      <w:t>P, HCPC Registered</w:t>
    </w:r>
  </w:p>
  <w:p w14:paraId="1847EE10" w14:textId="77777777" w:rsidR="00323B98" w:rsidRPr="00462949" w:rsidRDefault="00323B98" w:rsidP="00323B98">
    <w:pPr>
      <w:jc w:val="center"/>
      <w:rPr>
        <w:rFonts w:ascii="Century Gothic" w:hAnsi="Century Gothic"/>
        <w:color w:val="3D9991"/>
        <w:szCs w:val="16"/>
      </w:rPr>
    </w:pPr>
    <w:r w:rsidRPr="00462949">
      <w:rPr>
        <w:rFonts w:ascii="Century Gothic" w:hAnsi="Century Gothic"/>
        <w:color w:val="3D9991"/>
        <w:szCs w:val="16"/>
      </w:rPr>
      <w:t xml:space="preserve">Phone: </w:t>
    </w:r>
    <w:proofErr w:type="gramStart"/>
    <w:r w:rsidR="002935D6">
      <w:rPr>
        <w:rFonts w:ascii="Century Gothic" w:hAnsi="Century Gothic"/>
        <w:color w:val="3D9991"/>
        <w:szCs w:val="16"/>
      </w:rPr>
      <w:t>07984457619</w:t>
    </w:r>
    <w:r w:rsidRPr="00462949">
      <w:rPr>
        <w:rFonts w:ascii="Century Gothic" w:hAnsi="Century Gothic"/>
        <w:color w:val="3D9991"/>
        <w:szCs w:val="16"/>
      </w:rPr>
      <w:t xml:space="preserve">  |</w:t>
    </w:r>
    <w:proofErr w:type="gramEnd"/>
    <w:r w:rsidRPr="00462949">
      <w:rPr>
        <w:rFonts w:ascii="Century Gothic" w:hAnsi="Century Gothic"/>
        <w:color w:val="3D9991"/>
        <w:szCs w:val="16"/>
      </w:rPr>
      <w:t xml:space="preserve">  Email: </w:t>
    </w:r>
    <w:r w:rsidR="002935D6">
      <w:rPr>
        <w:rFonts w:ascii="Century Gothic" w:hAnsi="Century Gothic"/>
        <w:color w:val="3D9991"/>
        <w:szCs w:val="16"/>
      </w:rPr>
      <w:t>rafterybecky@gmail.com</w:t>
    </w:r>
    <w:r w:rsidRPr="00462949">
      <w:rPr>
        <w:rFonts w:ascii="Century Gothic" w:hAnsi="Century Gothic"/>
        <w:color w:val="3D9991"/>
        <w:szCs w:val="16"/>
      </w:rPr>
      <w:t xml:space="preserve"> </w:t>
    </w:r>
  </w:p>
  <w:p w14:paraId="1A84A4DF" w14:textId="77777777" w:rsidR="00323B98" w:rsidRPr="00462949" w:rsidRDefault="00323B98" w:rsidP="00462949">
    <w:pPr>
      <w:jc w:val="center"/>
      <w:rPr>
        <w:rFonts w:ascii="Century Gothic" w:hAnsi="Century Gothic"/>
        <w:color w:val="3D9991"/>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040B" w14:textId="77777777" w:rsidR="006254B4" w:rsidRDefault="00625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BF46" w14:textId="77777777" w:rsidR="0036621B" w:rsidRDefault="0036621B" w:rsidP="00323B98">
      <w:r>
        <w:separator/>
      </w:r>
    </w:p>
  </w:footnote>
  <w:footnote w:type="continuationSeparator" w:id="0">
    <w:p w14:paraId="11BD7446" w14:textId="77777777" w:rsidR="0036621B" w:rsidRDefault="0036621B" w:rsidP="00323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7469" w14:textId="77777777" w:rsidR="006254B4" w:rsidRDefault="00625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BC60" w14:textId="24B9D696" w:rsidR="001338B3" w:rsidRDefault="006254B4" w:rsidP="0095329A">
    <w:pPr>
      <w:pStyle w:val="Header"/>
    </w:pPr>
    <w:r w:rsidRPr="00B45CCB">
      <w:rPr>
        <w:noProof/>
      </w:rPr>
      <w:drawing>
        <wp:anchor distT="0" distB="0" distL="114300" distR="114300" simplePos="0" relativeHeight="251660288" behindDoc="1" locked="0" layoutInCell="1" allowOverlap="1" wp14:anchorId="1964EF8E" wp14:editId="021B2434">
          <wp:simplePos x="0" y="0"/>
          <wp:positionH relativeFrom="margin">
            <wp:posOffset>-674505</wp:posOffset>
          </wp:positionH>
          <wp:positionV relativeFrom="paragraph">
            <wp:posOffset>-331240</wp:posOffset>
          </wp:positionV>
          <wp:extent cx="1303020" cy="331470"/>
          <wp:effectExtent l="0" t="0" r="0" b="0"/>
          <wp:wrapTight wrapText="bothSides">
            <wp:wrapPolygon edited="0">
              <wp:start x="0" y="0"/>
              <wp:lineTo x="0" y="19862"/>
              <wp:lineTo x="21158" y="19862"/>
              <wp:lineTo x="21158" y="0"/>
              <wp:lineTo x="0" y="0"/>
            </wp:wrapPolygon>
          </wp:wrapTight>
          <wp:docPr id="56522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24836" name=""/>
                  <pic:cNvPicPr/>
                </pic:nvPicPr>
                <pic:blipFill>
                  <a:blip r:embed="rId1">
                    <a:extLst>
                      <a:ext uri="{28A0092B-C50C-407E-A947-70E740481C1C}">
                        <a14:useLocalDpi xmlns:a14="http://schemas.microsoft.com/office/drawing/2010/main" val="0"/>
                      </a:ext>
                    </a:extLst>
                  </a:blip>
                  <a:stretch>
                    <a:fillRect/>
                  </a:stretch>
                </pic:blipFill>
                <pic:spPr>
                  <a:xfrm>
                    <a:off x="0" y="0"/>
                    <a:ext cx="1303020" cy="3314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4BC89A88" wp14:editId="4B7C85DC">
          <wp:simplePos x="0" y="0"/>
          <wp:positionH relativeFrom="column">
            <wp:posOffset>3721100</wp:posOffset>
          </wp:positionH>
          <wp:positionV relativeFrom="paragraph">
            <wp:posOffset>-400050</wp:posOffset>
          </wp:positionV>
          <wp:extent cx="871220" cy="421005"/>
          <wp:effectExtent l="0" t="0" r="5080" b="0"/>
          <wp:wrapTight wrapText="bothSides">
            <wp:wrapPolygon edited="0">
              <wp:start x="0" y="0"/>
              <wp:lineTo x="0" y="20525"/>
              <wp:lineTo x="21254" y="20525"/>
              <wp:lineTo x="21254" y="0"/>
              <wp:lineTo x="0" y="0"/>
            </wp:wrapPolygon>
          </wp:wrapTight>
          <wp:docPr id="1008978137"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78137" name="Picture 1" descr="A logo for a compan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1220" cy="4210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632F31CD" wp14:editId="37762BD6">
          <wp:simplePos x="0" y="0"/>
          <wp:positionH relativeFrom="margin">
            <wp:posOffset>2328545</wp:posOffset>
          </wp:positionH>
          <wp:positionV relativeFrom="paragraph">
            <wp:posOffset>-415290</wp:posOffset>
          </wp:positionV>
          <wp:extent cx="1127760" cy="466725"/>
          <wp:effectExtent l="0" t="0" r="0" b="9525"/>
          <wp:wrapTight wrapText="bothSides">
            <wp:wrapPolygon edited="0">
              <wp:start x="0" y="0"/>
              <wp:lineTo x="0" y="21159"/>
              <wp:lineTo x="21162" y="21159"/>
              <wp:lineTo x="21162" y="0"/>
              <wp:lineTo x="0" y="0"/>
            </wp:wrapPolygon>
          </wp:wrapTight>
          <wp:docPr id="912205581"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05581" name="Picture 2" descr="A blue and white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127760" cy="4667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3A7F72F5" wp14:editId="2C3CE6FC">
          <wp:simplePos x="0" y="0"/>
          <wp:positionH relativeFrom="margin">
            <wp:posOffset>914454</wp:posOffset>
          </wp:positionH>
          <wp:positionV relativeFrom="paragraph">
            <wp:posOffset>-350168</wp:posOffset>
          </wp:positionV>
          <wp:extent cx="1056640" cy="337820"/>
          <wp:effectExtent l="0" t="0" r="0" b="5080"/>
          <wp:wrapTight wrapText="bothSides">
            <wp:wrapPolygon edited="0">
              <wp:start x="0" y="0"/>
              <wp:lineTo x="0" y="20707"/>
              <wp:lineTo x="21029" y="20707"/>
              <wp:lineTo x="21029" y="0"/>
              <wp:lineTo x="0" y="0"/>
            </wp:wrapPolygon>
          </wp:wrapTight>
          <wp:docPr id="319845707" name="Picture 4" descr="A purpl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45707" name="Picture 4" descr="A purple sign with whit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056640" cy="337820"/>
                  </a:xfrm>
                  <a:prstGeom prst="rect">
                    <a:avLst/>
                  </a:prstGeom>
                </pic:spPr>
              </pic:pic>
            </a:graphicData>
          </a:graphic>
          <wp14:sizeRelH relativeFrom="margin">
            <wp14:pctWidth>0</wp14:pctWidth>
          </wp14:sizeRelH>
          <wp14:sizeRelV relativeFrom="margin">
            <wp14:pctHeight>0</wp14:pctHeight>
          </wp14:sizeRelV>
        </wp:anchor>
      </w:drawing>
    </w:r>
    <w:r w:rsidR="001A224D">
      <w:rPr>
        <w:noProof/>
      </w:rPr>
      <w:drawing>
        <wp:anchor distT="0" distB="0" distL="114300" distR="114300" simplePos="0" relativeHeight="251658240" behindDoc="1" locked="0" layoutInCell="1" allowOverlap="1" wp14:anchorId="49ED1C70" wp14:editId="435417AC">
          <wp:simplePos x="0" y="0"/>
          <wp:positionH relativeFrom="column">
            <wp:posOffset>5073650</wp:posOffset>
          </wp:positionH>
          <wp:positionV relativeFrom="paragraph">
            <wp:posOffset>-297180</wp:posOffset>
          </wp:positionV>
          <wp:extent cx="1292672" cy="1150620"/>
          <wp:effectExtent l="0" t="0" r="3175" b="0"/>
          <wp:wrapTight wrapText="bothSides">
            <wp:wrapPolygon edited="0">
              <wp:start x="0" y="0"/>
              <wp:lineTo x="0" y="21099"/>
              <wp:lineTo x="21335" y="21099"/>
              <wp:lineTo x="213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53261" t="27693" r="4348" b="45605"/>
                  <a:stretch/>
                </pic:blipFill>
                <pic:spPr bwMode="auto">
                  <a:xfrm>
                    <a:off x="0" y="0"/>
                    <a:ext cx="1292672" cy="1150620"/>
                  </a:xfrm>
                  <a:prstGeom prst="rect">
                    <a:avLst/>
                  </a:prstGeom>
                  <a:noFill/>
                  <a:ln>
                    <a:noFill/>
                  </a:ln>
                  <a:extLst>
                    <a:ext uri="{53640926-AAD7-44D8-BBD7-CCE9431645EC}">
                      <a14:shadowObscured xmlns:a14="http://schemas.microsoft.com/office/drawing/2010/main"/>
                    </a:ext>
                  </a:extLst>
                </pic:spPr>
              </pic:pic>
            </a:graphicData>
          </a:graphic>
        </wp:anchor>
      </w:drawing>
    </w:r>
  </w:p>
  <w:p w14:paraId="58B1A629" w14:textId="77777777" w:rsidR="0095329A" w:rsidRDefault="0095329A" w:rsidP="0095329A">
    <w:pPr>
      <w:pStyle w:val="Header"/>
    </w:pPr>
  </w:p>
  <w:p w14:paraId="32405354" w14:textId="77777777" w:rsidR="0095329A" w:rsidRDefault="0095329A" w:rsidP="00953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84C9" w14:textId="77777777" w:rsidR="006254B4" w:rsidRDefault="00625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28C"/>
    <w:multiLevelType w:val="hybridMultilevel"/>
    <w:tmpl w:val="A6FE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F1CBC"/>
    <w:multiLevelType w:val="hybridMultilevel"/>
    <w:tmpl w:val="0C02F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4A0454"/>
    <w:multiLevelType w:val="multilevel"/>
    <w:tmpl w:val="525C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C55E95"/>
    <w:multiLevelType w:val="hybridMultilevel"/>
    <w:tmpl w:val="CF8E362A"/>
    <w:lvl w:ilvl="0" w:tplc="25024A10">
      <w:start w:val="30"/>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01BDE"/>
    <w:multiLevelType w:val="hybridMultilevel"/>
    <w:tmpl w:val="73284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19390285">
    <w:abstractNumId w:val="0"/>
  </w:num>
  <w:num w:numId="2" w16cid:durableId="2008513288">
    <w:abstractNumId w:val="4"/>
  </w:num>
  <w:num w:numId="3" w16cid:durableId="936865285">
    <w:abstractNumId w:val="1"/>
  </w:num>
  <w:num w:numId="4" w16cid:durableId="255408610">
    <w:abstractNumId w:val="3"/>
  </w:num>
  <w:num w:numId="5" w16cid:durableId="920337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35"/>
    <w:rsid w:val="00044D9E"/>
    <w:rsid w:val="00076EBE"/>
    <w:rsid w:val="0008249B"/>
    <w:rsid w:val="0012516D"/>
    <w:rsid w:val="00132D1F"/>
    <w:rsid w:val="001338B3"/>
    <w:rsid w:val="001A224D"/>
    <w:rsid w:val="002935D6"/>
    <w:rsid w:val="003064FD"/>
    <w:rsid w:val="00323B98"/>
    <w:rsid w:val="00353135"/>
    <w:rsid w:val="0036621B"/>
    <w:rsid w:val="003C3D04"/>
    <w:rsid w:val="003E482D"/>
    <w:rsid w:val="003F24D1"/>
    <w:rsid w:val="00461A59"/>
    <w:rsid w:val="00462949"/>
    <w:rsid w:val="00471B3C"/>
    <w:rsid w:val="00487F5D"/>
    <w:rsid w:val="0049317C"/>
    <w:rsid w:val="004C6EA9"/>
    <w:rsid w:val="004D0364"/>
    <w:rsid w:val="00525C2E"/>
    <w:rsid w:val="00532D1B"/>
    <w:rsid w:val="005B68D2"/>
    <w:rsid w:val="00613559"/>
    <w:rsid w:val="006254B4"/>
    <w:rsid w:val="00645B16"/>
    <w:rsid w:val="006502A5"/>
    <w:rsid w:val="00663F32"/>
    <w:rsid w:val="00666DA2"/>
    <w:rsid w:val="0067361A"/>
    <w:rsid w:val="0068290E"/>
    <w:rsid w:val="006C545E"/>
    <w:rsid w:val="007C0FDB"/>
    <w:rsid w:val="007E4ECB"/>
    <w:rsid w:val="007F2DC4"/>
    <w:rsid w:val="008243F0"/>
    <w:rsid w:val="008736E3"/>
    <w:rsid w:val="008A5EC3"/>
    <w:rsid w:val="008F4DD9"/>
    <w:rsid w:val="00906F54"/>
    <w:rsid w:val="0095329A"/>
    <w:rsid w:val="009822CB"/>
    <w:rsid w:val="009D18AC"/>
    <w:rsid w:val="009F4DCB"/>
    <w:rsid w:val="00A113D0"/>
    <w:rsid w:val="00A42CB8"/>
    <w:rsid w:val="00A5372E"/>
    <w:rsid w:val="00AC6C68"/>
    <w:rsid w:val="00B05425"/>
    <w:rsid w:val="00B12DCE"/>
    <w:rsid w:val="00B20066"/>
    <w:rsid w:val="00B52422"/>
    <w:rsid w:val="00B771C4"/>
    <w:rsid w:val="00B85568"/>
    <w:rsid w:val="00B90B8C"/>
    <w:rsid w:val="00B97418"/>
    <w:rsid w:val="00BB638F"/>
    <w:rsid w:val="00C228C9"/>
    <w:rsid w:val="00C27505"/>
    <w:rsid w:val="00C8666D"/>
    <w:rsid w:val="00CA2B21"/>
    <w:rsid w:val="00CC6D2F"/>
    <w:rsid w:val="00CD5F6D"/>
    <w:rsid w:val="00D645BC"/>
    <w:rsid w:val="00DE3BB6"/>
    <w:rsid w:val="00E315F5"/>
    <w:rsid w:val="00E34D11"/>
    <w:rsid w:val="00EC7C7D"/>
    <w:rsid w:val="00ED00FA"/>
    <w:rsid w:val="00F40551"/>
    <w:rsid w:val="00F44A6E"/>
    <w:rsid w:val="00F63F08"/>
    <w:rsid w:val="00FC2B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2F203"/>
  <w15:docId w15:val="{42E033AB-A877-438C-BE03-E1664A76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F54"/>
    <w:rPr>
      <w:rFonts w:ascii="Tahoma" w:eastAsia="Times New Roman" w:hAnsi="Tahoma"/>
      <w:sz w:val="16"/>
      <w:lang w:val="en-US" w:eastAsia="en-US"/>
    </w:rPr>
  </w:style>
  <w:style w:type="paragraph" w:styleId="Heading1">
    <w:name w:val="heading 1"/>
    <w:basedOn w:val="Normal"/>
    <w:next w:val="Normal"/>
    <w:qFormat/>
    <w:rsid w:val="00CC6D2F"/>
    <w:pPr>
      <w:spacing w:after="200"/>
      <w:outlineLvl w:val="0"/>
    </w:pPr>
    <w:rPr>
      <w:caps/>
      <w:sz w:val="44"/>
      <w:szCs w:val="36"/>
    </w:rPr>
  </w:style>
  <w:style w:type="paragraph" w:styleId="Heading2">
    <w:name w:val="heading 2"/>
    <w:basedOn w:val="Normal"/>
    <w:next w:val="Normal"/>
    <w:qFormat/>
    <w:rsid w:val="008736E3"/>
    <w:pPr>
      <w:outlineLvl w:val="1"/>
    </w:pPr>
    <w:rPr>
      <w:color w:val="99BABD"/>
      <w:sz w:val="100"/>
      <w:szCs w:val="70"/>
    </w:rPr>
  </w:style>
  <w:style w:type="paragraph" w:styleId="Heading3">
    <w:name w:val="heading 3"/>
    <w:basedOn w:val="Heading2"/>
    <w:next w:val="Normal"/>
    <w:link w:val="Heading3Char"/>
    <w:qFormat/>
    <w:rsid w:val="00906F54"/>
    <w:pPr>
      <w:outlineLvl w:val="2"/>
    </w:pPr>
  </w:style>
  <w:style w:type="paragraph" w:styleId="Heading4">
    <w:name w:val="heading 4"/>
    <w:basedOn w:val="Normal"/>
    <w:next w:val="Normal"/>
    <w:qFormat/>
    <w:pPr>
      <w:keepNext/>
      <w:outlineLvl w:val="3"/>
    </w:pPr>
    <w:rPr>
      <w:color w:val="003366"/>
    </w:rPr>
  </w:style>
  <w:style w:type="paragraph" w:styleId="Heading5">
    <w:name w:val="heading 5"/>
    <w:basedOn w:val="Normal"/>
    <w:next w:val="Normal"/>
    <w:qFormat/>
    <w:pPr>
      <w:keepNext/>
      <w:shd w:val="clear" w:color="auto" w:fill="008080"/>
      <w:ind w:left="58"/>
      <w:outlineLvl w:val="4"/>
    </w:pPr>
    <w:rPr>
      <w:b/>
      <w:color w:val="FFFFFF"/>
    </w:rPr>
  </w:style>
  <w:style w:type="paragraph" w:styleId="Heading6">
    <w:name w:val="heading 6"/>
    <w:basedOn w:val="Normal"/>
    <w:next w:val="Normal"/>
    <w:qFormat/>
    <w:pPr>
      <w:keepNext/>
      <w:outlineLvl w:val="5"/>
    </w:pPr>
    <w:rPr>
      <w:b/>
      <w:sz w:val="32"/>
    </w:rPr>
  </w:style>
  <w:style w:type="paragraph" w:styleId="Heading7">
    <w:name w:val="heading 7"/>
    <w:basedOn w:val="Normal"/>
    <w:next w:val="Normal"/>
    <w:qFormat/>
    <w:pPr>
      <w:keepNext/>
      <w:outlineLvl w:val="6"/>
    </w:pPr>
    <w:rPr>
      <w:b/>
      <w:i/>
      <w:color w:val="003366"/>
      <w:sz w:val="18"/>
    </w:rPr>
  </w:style>
  <w:style w:type="paragraph" w:styleId="Heading8">
    <w:name w:val="heading 8"/>
    <w:basedOn w:val="Normal"/>
    <w:next w:val="Normal"/>
    <w:qFormat/>
    <w:pPr>
      <w:keepNext/>
      <w:outlineLvl w:val="7"/>
    </w:pPr>
    <w:rPr>
      <w:rFonts w:ascii="Times New Roman" w:hAnsi="Times New Roman"/>
      <w:b/>
    </w:rPr>
  </w:style>
  <w:style w:type="paragraph" w:styleId="Heading9">
    <w:name w:val="heading 9"/>
    <w:basedOn w:val="Normal"/>
    <w:next w:val="Normal"/>
    <w:qFormat/>
    <w:pPr>
      <w:keepNext/>
      <w:ind w:left="58"/>
      <w:outlineLvl w:val="8"/>
    </w:pPr>
    <w:rPr>
      <w:color w:val="0033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06F54"/>
    <w:rPr>
      <w:rFonts w:cs="Tahoma"/>
      <w:szCs w:val="16"/>
    </w:rPr>
  </w:style>
  <w:style w:type="character" w:styleId="Emphasis">
    <w:name w:val="Emphasis"/>
    <w:basedOn w:val="DefaultParagraphFont"/>
    <w:qFormat/>
    <w:rsid w:val="00353135"/>
    <w:rPr>
      <w:i/>
      <w:iCs/>
    </w:rPr>
  </w:style>
  <w:style w:type="character" w:customStyle="1" w:styleId="Heading3Char">
    <w:name w:val="Heading 3 Char"/>
    <w:basedOn w:val="DefaultParagraphFont"/>
    <w:link w:val="Heading3"/>
    <w:rsid w:val="00666DA2"/>
    <w:rPr>
      <w:rFonts w:ascii="Tahoma" w:eastAsia="Times New Roman" w:hAnsi="Tahoma"/>
      <w:color w:val="99BABD"/>
      <w:sz w:val="100"/>
      <w:szCs w:val="70"/>
      <w:lang w:val="en-US" w:eastAsia="en-US"/>
    </w:rPr>
  </w:style>
  <w:style w:type="paragraph" w:styleId="Header">
    <w:name w:val="header"/>
    <w:basedOn w:val="Normal"/>
    <w:link w:val="HeaderChar"/>
    <w:rsid w:val="00323B98"/>
    <w:pPr>
      <w:tabs>
        <w:tab w:val="center" w:pos="4513"/>
        <w:tab w:val="right" w:pos="9026"/>
      </w:tabs>
    </w:pPr>
  </w:style>
  <w:style w:type="character" w:customStyle="1" w:styleId="HeaderChar">
    <w:name w:val="Header Char"/>
    <w:basedOn w:val="DefaultParagraphFont"/>
    <w:link w:val="Header"/>
    <w:rsid w:val="00323B98"/>
    <w:rPr>
      <w:rFonts w:ascii="Tahoma" w:eastAsia="Times New Roman" w:hAnsi="Tahoma"/>
      <w:sz w:val="16"/>
      <w:lang w:val="en-US" w:eastAsia="en-US"/>
    </w:rPr>
  </w:style>
  <w:style w:type="paragraph" w:customStyle="1" w:styleId="LetterBodyText">
    <w:name w:val="Letter Body Text"/>
    <w:basedOn w:val="Normal"/>
    <w:rsid w:val="00076EBE"/>
    <w:pPr>
      <w:spacing w:after="200" w:line="288" w:lineRule="auto"/>
    </w:pPr>
    <w:rPr>
      <w:sz w:val="18"/>
    </w:rPr>
  </w:style>
  <w:style w:type="paragraph" w:styleId="Footer">
    <w:name w:val="footer"/>
    <w:basedOn w:val="Normal"/>
    <w:link w:val="FooterChar"/>
    <w:rsid w:val="00323B98"/>
    <w:pPr>
      <w:tabs>
        <w:tab w:val="center" w:pos="4513"/>
        <w:tab w:val="right" w:pos="9026"/>
      </w:tabs>
    </w:pPr>
  </w:style>
  <w:style w:type="character" w:customStyle="1" w:styleId="FooterChar">
    <w:name w:val="Footer Char"/>
    <w:basedOn w:val="DefaultParagraphFont"/>
    <w:link w:val="Footer"/>
    <w:rsid w:val="00323B98"/>
    <w:rPr>
      <w:rFonts w:ascii="Tahoma" w:eastAsia="Times New Roman" w:hAnsi="Tahoma"/>
      <w:sz w:val="16"/>
      <w:lang w:val="en-US" w:eastAsia="en-US"/>
    </w:rPr>
  </w:style>
  <w:style w:type="paragraph" w:styleId="NormalWeb">
    <w:name w:val="Normal (Web)"/>
    <w:basedOn w:val="Normal"/>
    <w:uiPriority w:val="99"/>
    <w:semiHidden/>
    <w:unhideWhenUsed/>
    <w:rsid w:val="00532D1B"/>
    <w:pPr>
      <w:spacing w:before="100" w:beforeAutospacing="1" w:after="100" w:afterAutospacing="1"/>
    </w:pPr>
    <w:rPr>
      <w:rFonts w:ascii="Times New Roman" w:hAnsi="Times New Roman"/>
      <w:sz w:val="24"/>
      <w:szCs w:val="24"/>
      <w:lang w:val="en-GB" w:eastAsia="en-GB"/>
    </w:rPr>
  </w:style>
  <w:style w:type="character" w:styleId="Strong">
    <w:name w:val="Strong"/>
    <w:basedOn w:val="DefaultParagraphFont"/>
    <w:uiPriority w:val="22"/>
    <w:qFormat/>
    <w:rsid w:val="00532D1B"/>
    <w:rPr>
      <w:b/>
      <w:bCs/>
    </w:rPr>
  </w:style>
  <w:style w:type="paragraph" w:styleId="ListParagraph">
    <w:name w:val="List Paragraph"/>
    <w:basedOn w:val="Normal"/>
    <w:uiPriority w:val="34"/>
    <w:qFormat/>
    <w:rsid w:val="004D0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Template>
  <TotalTime>19</TotalTime>
  <Pages>6</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RAFTERY, Becky (HERTFORDSHIRE COMMUNITY NHS TRUST)</cp:lastModifiedBy>
  <cp:revision>10</cp:revision>
  <cp:lastPrinted>2015-09-12T09:10:00Z</cp:lastPrinted>
  <dcterms:created xsi:type="dcterms:W3CDTF">2024-06-15T22:03:00Z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TC010129251033</vt:lpwstr>
  </property>
  <property fmtid="{D5CDD505-2E9C-101B-9397-08002B2CF9AE}" pid="3" name="GrammarlyDocumentId">
    <vt:lpwstr>b86a48eb59e4e668a9e974eec134b17bebfbbde37c7fbef632ca408b23f10614</vt:lpwstr>
  </property>
</Properties>
</file>